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7B5745" w:rsidRPr="007B5745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7B5745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B574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7B5745" w:rsidRPr="007B5745">
        <w:rPr>
          <w:rFonts w:ascii="Times New Roman" w:hAnsi="Times New Roman"/>
          <w:sz w:val="26"/>
          <w:szCs w:val="26"/>
        </w:rPr>
        <w:t xml:space="preserve">Принятие решения об использовании земель или земельных участков, находящихся в муниципальной собственности </w:t>
      </w:r>
      <w:r w:rsidR="007B5745" w:rsidRPr="007B5745">
        <w:rPr>
          <w:rFonts w:ascii="Times New Roman" w:hAnsi="Times New Roman"/>
          <w:sz w:val="26"/>
          <w:szCs w:val="26"/>
        </w:rPr>
        <w:lastRenderedPageBreak/>
        <w:t>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7B5745">
        <w:rPr>
          <w:rFonts w:ascii="Times New Roman" w:hAnsi="Times New Roman" w:cs="Times New Roman"/>
          <w:sz w:val="26"/>
          <w:szCs w:val="26"/>
        </w:rPr>
        <w:t>19.03.2024</w:t>
      </w:r>
      <w:r w:rsidR="007B5745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7B5745">
        <w:rPr>
          <w:rFonts w:ascii="Times New Roman" w:hAnsi="Times New Roman" w:cs="Times New Roman"/>
          <w:sz w:val="26"/>
          <w:szCs w:val="26"/>
        </w:rPr>
        <w:t>71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B5745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27EB-0E85-418E-B37C-9C72733B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2024-10-25T12:58:00Z</dcterms:modified>
</cp:coreProperties>
</file>