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A60599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BD7D1E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D1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Федерации», утвержденный Постановлением администрации от 22.12.2022 № 428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781C81" w:rsidRPr="00BD7D1E">
        <w:rPr>
          <w:rFonts w:ascii="Times New Roman" w:hAnsi="Times New Roman" w:cs="Times New Roman"/>
          <w:sz w:val="26"/>
          <w:szCs w:val="26"/>
        </w:rPr>
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</w:t>
      </w:r>
      <w:r w:rsidR="00781C81" w:rsidRPr="00BD7D1E">
        <w:rPr>
          <w:rFonts w:ascii="Times New Roman" w:hAnsi="Times New Roman" w:cs="Times New Roman"/>
          <w:sz w:val="26"/>
          <w:szCs w:val="26"/>
        </w:rPr>
        <w:lastRenderedPageBreak/>
        <w:t xml:space="preserve">гараж, являющийся объектом капитального строительства и возведенный до дня введения в </w:t>
      </w:r>
      <w:bookmarkStart w:id="0" w:name="_GoBack"/>
      <w:bookmarkEnd w:id="0"/>
      <w:r w:rsidR="00781C81" w:rsidRPr="00BD7D1E">
        <w:rPr>
          <w:rFonts w:ascii="Times New Roman" w:hAnsi="Times New Roman" w:cs="Times New Roman"/>
          <w:sz w:val="26"/>
          <w:szCs w:val="26"/>
        </w:rPr>
        <w:t>действие Градостроительного кодекса Российской Федерации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BD7D1E" w:rsidRPr="00BD7D1E">
        <w:rPr>
          <w:rFonts w:ascii="Times New Roman" w:hAnsi="Times New Roman" w:cs="Times New Roman"/>
          <w:sz w:val="26"/>
          <w:szCs w:val="26"/>
        </w:rPr>
        <w:t>22.12.2022 № 428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1C81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0599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D7D1E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B941-4E9A-4E4A-AA90-16227C54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2024-11-06T11:29:00Z</dcterms:modified>
</cp:coreProperties>
</file>