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5370E0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№312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09A9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7B5745" w:rsidRPr="007B5745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 w:rsidR="007B5745">
              <w:rPr>
                <w:rFonts w:ascii="Times New Roman" w:hAnsi="Times New Roman" w:cs="Times New Roman"/>
                <w:sz w:val="26"/>
                <w:szCs w:val="26"/>
              </w:rPr>
              <w:t>19.03.2024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7B5745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7B5745" w:rsidRPr="007B5745">
        <w:rPr>
          <w:rFonts w:ascii="Times New Roman" w:hAnsi="Times New Roman"/>
          <w:sz w:val="26"/>
          <w:szCs w:val="26"/>
        </w:rPr>
        <w:t xml:space="preserve">Принятие решения об использовании земель или земельных участков, находящихся в муниципальной собственности </w:t>
      </w:r>
      <w:r w:rsidR="007B5745" w:rsidRPr="007B5745">
        <w:rPr>
          <w:rFonts w:ascii="Times New Roman" w:hAnsi="Times New Roman"/>
          <w:sz w:val="26"/>
          <w:szCs w:val="26"/>
        </w:rPr>
        <w:lastRenderedPageBreak/>
        <w:t>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7B5745">
        <w:rPr>
          <w:rFonts w:ascii="Times New Roman" w:hAnsi="Times New Roman" w:cs="Times New Roman"/>
          <w:sz w:val="26"/>
          <w:szCs w:val="26"/>
        </w:rPr>
        <w:t>19.03.2024</w:t>
      </w:r>
      <w:r w:rsidR="007B5745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7B5745">
        <w:rPr>
          <w:rFonts w:ascii="Times New Roman" w:hAnsi="Times New Roman" w:cs="Times New Roman"/>
          <w:sz w:val="26"/>
          <w:szCs w:val="26"/>
        </w:rPr>
        <w:t>71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0E0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B5745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1419-CB5A-469C-B409-EF9B06A7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20</cp:revision>
  <cp:lastPrinted>2021-02-19T08:08:00Z</cp:lastPrinted>
  <dcterms:created xsi:type="dcterms:W3CDTF">2021-02-19T09:54:00Z</dcterms:created>
  <dcterms:modified xsi:type="dcterms:W3CDTF">2024-11-06T11:34:00Z</dcterms:modified>
</cp:coreProperties>
</file>